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Calibri" w:cs="Calibri" w:eastAsia="Calibri" w:hAnsi="Calibri"/>
          <w:b/>
          <w:bCs/>
          <w:color w:val="B5651D"/>
          <w:sz w:val="20"/>
          <w:szCs w:val="20"/>
        </w:rPr>
        <w:t xml:space="preserve">DEVIS</w:t>
      </w:r>
    </w:p>
    <w:p>
      <w:pPr>
        <w:spacing w:after="60" w:before="0"/>
      </w:pPr>
      <w:r>
        <w:rPr>
          <w:rFonts w:ascii="Calibri" w:cs="Calibri" w:eastAsia="Calibri" w:hAnsi="Calibri"/>
          <w:b/>
          <w:bCs/>
          <w:color w:val="1F2A36"/>
          <w:sz w:val="40"/>
          <w:szCs w:val="40"/>
        </w:rPr>
        <w:t xml:space="preserve">Refonte du site nomadskiguide.com</w:t>
      </w:r>
    </w:p>
    <w:p>
      <w:pPr>
        <w:spacing w:after="240" w:before="0"/>
      </w:pPr>
      <w:r>
        <w:rPr>
          <w:rFonts w:ascii="Calibri" w:cs="Calibri" w:eastAsia="Calibri" w:hAnsi="Calibri"/>
          <w:color w:val="6B7A89"/>
          <w:sz w:val="22"/>
          <w:szCs w:val="22"/>
        </w:rPr>
        <w:t xml:space="preserve">Nouveau site multilingue avec espace d'administration pour les voyages et le blog</w:t>
      </w:r>
    </w:p>
    <w:p>
      <w:pPr>
        <w:spacing w:after="40" w:before="0"/>
      </w:pPr>
      <w:r>
        <w:rPr>
          <w:rFonts w:ascii="Calibri" w:cs="Calibri" w:eastAsia="Calibri" w:hAnsi="Calibri"/>
          <w:b/>
          <w:bCs/>
          <w:color w:val="1F2A36"/>
          <w:sz w:val="22"/>
          <w:szCs w:val="22"/>
        </w:rPr>
        <w:t xml:space="preserve">Devis n° : </w:t>
      </w:r>
      <w:r>
        <w:rPr>
          <w:rFonts w:ascii="Calibri" w:cs="Calibri" w:eastAsia="Calibri" w:hAnsi="Calibri"/>
          <w:color w:val="1F2A36"/>
          <w:sz w:val="22"/>
          <w:szCs w:val="22"/>
        </w:rPr>
        <w:t xml:space="preserve">[À COMPLÉTER]</w:t>
      </w:r>
    </w:p>
    <w:p>
      <w:pPr>
        <w:spacing w:after="40" w:before="0"/>
      </w:pPr>
      <w:r>
        <w:rPr>
          <w:rFonts w:ascii="Calibri" w:cs="Calibri" w:eastAsia="Calibri" w:hAnsi="Calibri"/>
          <w:b/>
          <w:bCs/>
          <w:color w:val="1F2A36"/>
          <w:sz w:val="22"/>
          <w:szCs w:val="22"/>
        </w:rPr>
        <w:t xml:space="preserve">Date : </w:t>
      </w:r>
      <w:r>
        <w:rPr>
          <w:rFonts w:ascii="Calibri" w:cs="Calibri" w:eastAsia="Calibri" w:hAnsi="Calibri"/>
          <w:color w:val="1F2A36"/>
          <w:sz w:val="22"/>
          <w:szCs w:val="22"/>
        </w:rPr>
        <w:t xml:space="preserve">[À COMPLÉTER]</w:t>
      </w:r>
    </w:p>
    <w:p>
      <w:pPr>
        <w:spacing w:after="200" w:before="0"/>
      </w:pPr>
      <w:r>
        <w:rPr>
          <w:rFonts w:ascii="Calibri" w:cs="Calibri" w:eastAsia="Calibri" w:hAnsi="Calibri"/>
          <w:b/>
          <w:bCs/>
          <w:color w:val="1F2A36"/>
          <w:sz w:val="22"/>
          <w:szCs w:val="22"/>
        </w:rPr>
        <w:t xml:space="preserve">Validité de l'offre : </w:t>
      </w:r>
      <w:r>
        <w:rPr>
          <w:rFonts w:ascii="Calibri" w:cs="Calibri" w:eastAsia="Calibri" w:hAnsi="Calibri"/>
          <w:color w:val="1F2A36"/>
          <w:sz w:val="22"/>
          <w:szCs w:val="22"/>
        </w:rPr>
        <w:t xml:space="preserve">30 jours à compter de la date d'émission.</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4820"/>
        <w:gridCol w:w="4820"/>
      </w:tblGrid>
      <w:tr>
        <w:tc>
          <w:tcPr>
            <w:tcW w:type="dxa" w:w="482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60" w:before="0"/>
            </w:pPr>
            <w:r>
              <w:rPr>
                <w:rFonts w:ascii="Calibri" w:cs="Calibri" w:eastAsia="Calibri" w:hAnsi="Calibri"/>
                <w:b/>
                <w:bCs/>
                <w:color w:val="6B7A89"/>
                <w:sz w:val="20"/>
                <w:szCs w:val="20"/>
              </w:rPr>
              <w:t xml:space="preserve">Émis par</w:t>
            </w:r>
          </w:p>
          <w:p>
            <w:pPr>
              <w:spacing w:after="20" w:before="0"/>
            </w:pPr>
            <w:r>
              <w:rPr>
                <w:rFonts w:ascii="Calibri" w:cs="Calibri" w:eastAsia="Calibri" w:hAnsi="Calibri"/>
                <w:color w:val="1F2A36"/>
                <w:sz w:val="22"/>
                <w:szCs w:val="22"/>
              </w:rPr>
              <w:t xml:space="preserve">DUEBYTES di Alberti Paolo</w:t>
            </w:r>
          </w:p>
          <w:p>
            <w:pPr>
              <w:spacing w:after="20" w:before="0"/>
            </w:pPr>
            <w:r>
              <w:rPr>
                <w:rFonts w:ascii="Calibri" w:cs="Calibri" w:eastAsia="Calibri" w:hAnsi="Calibri"/>
                <w:color w:val="1F2A36"/>
                <w:sz w:val="22"/>
                <w:szCs w:val="22"/>
              </w:rPr>
              <w:t xml:space="preserve">18018 Arma di Taggia (IM), Italie</w:t>
            </w:r>
          </w:p>
          <w:p>
            <w:pPr>
              <w:spacing w:after="20" w:before="0"/>
            </w:pPr>
            <w:r>
              <w:rPr>
                <w:rFonts w:ascii="Calibri" w:cs="Calibri" w:eastAsia="Calibri" w:hAnsi="Calibri"/>
                <w:color w:val="1F2A36"/>
                <w:sz w:val="22"/>
                <w:szCs w:val="22"/>
              </w:rPr>
              <w:t xml:space="preserve">N° TVA intracommunautaire : IT01553530088</w:t>
            </w:r>
          </w:p>
          <w:p>
            <w:pPr>
              <w:spacing w:after="20" w:before="0"/>
            </w:pPr>
            <w:r>
              <w:rPr>
                <w:rFonts w:ascii="Calibri" w:cs="Calibri" w:eastAsia="Calibri" w:hAnsi="Calibri"/>
                <w:color w:val="1F2A36"/>
                <w:sz w:val="22"/>
                <w:szCs w:val="22"/>
              </w:rPr>
              <w:t xml:space="preserve">paolo.alberti@duebytes.it</w:t>
            </w:r>
          </w:p>
          <w:p>
            <w:pPr>
              <w:spacing w:after="0" w:before="0"/>
            </w:pPr>
            <w:r>
              <w:rPr>
                <w:rFonts w:ascii="Calibri" w:cs="Calibri" w:eastAsia="Calibri" w:hAnsi="Calibri"/>
                <w:color w:val="1F2A36"/>
                <w:sz w:val="22"/>
                <w:szCs w:val="22"/>
              </w:rPr>
              <w:t xml:space="preserve">www.duebytes.it</w:t>
            </w:r>
          </w:p>
        </w:tc>
        <w:tc>
          <w:tcPr>
            <w:tcW w:type="dxa" w:w="482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60" w:before="0"/>
            </w:pPr>
            <w:r>
              <w:rPr>
                <w:rFonts w:ascii="Calibri" w:cs="Calibri" w:eastAsia="Calibri" w:hAnsi="Calibri"/>
                <w:b/>
                <w:bCs/>
                <w:color w:val="6B7A89"/>
                <w:sz w:val="20"/>
                <w:szCs w:val="20"/>
              </w:rPr>
              <w:t xml:space="preserve">Destinataire</w:t>
            </w:r>
          </w:p>
          <w:p>
            <w:pPr>
              <w:spacing w:after="20" w:before="0"/>
            </w:pPr>
            <w:r>
              <w:rPr>
                <w:rFonts w:ascii="Calibri" w:cs="Calibri" w:eastAsia="Calibri" w:hAnsi="Calibri"/>
                <w:color w:val="1F2A36"/>
                <w:sz w:val="22"/>
                <w:szCs w:val="22"/>
              </w:rPr>
              <w:t xml:space="preserve">Fabien Artero, Nomad Ski Guide</w:t>
            </w:r>
          </w:p>
          <w:p>
            <w:pPr>
              <w:spacing w:after="20" w:before="0"/>
            </w:pPr>
            <w:r>
              <w:rPr>
                <w:rFonts w:ascii="Calibri" w:cs="Calibri" w:eastAsia="Calibri" w:hAnsi="Calibri"/>
                <w:color w:val="1F2A36"/>
                <w:sz w:val="22"/>
                <w:szCs w:val="22"/>
              </w:rPr>
              <w:t xml:space="preserve">249 LT Le Villaret, 05100 Puy-Saint-André</w:t>
            </w:r>
          </w:p>
          <w:p>
            <w:pPr>
              <w:spacing w:after="20" w:before="0"/>
            </w:pPr>
            <w:r>
              <w:rPr>
                <w:rFonts w:ascii="Calibri" w:cs="Calibri" w:eastAsia="Calibri" w:hAnsi="Calibri"/>
                <w:color w:val="1F2A36"/>
                <w:sz w:val="22"/>
                <w:szCs w:val="22"/>
              </w:rPr>
              <w:t xml:space="preserve">SIRET 513 646 083 00032, TVA FR44513646083</w:t>
            </w:r>
          </w:p>
          <w:p>
            <w:pPr>
              <w:spacing w:after="0" w:before="0"/>
            </w:pPr>
            <w:r>
              <w:rPr>
                <w:rFonts w:ascii="Calibri" w:cs="Calibri" w:eastAsia="Calibri" w:hAnsi="Calibri"/>
                <w:color w:val="1F2A36"/>
                <w:sz w:val="22"/>
                <w:szCs w:val="22"/>
              </w:rPr>
              <w:t xml:space="preserve">contact@nomadskiguide.com</w:t>
            </w:r>
          </w:p>
        </w:tc>
      </w:tr>
    </w:tbl>
    <w:p>
      <w:pPr>
        <w:pStyle w:val="Heading1"/>
        <w:spacing w:after="120" w:before="320"/>
      </w:pPr>
      <w:r>
        <w:rPr>
          <w:rFonts w:ascii="Calibri" w:cs="Calibri" w:eastAsia="Calibri" w:hAnsi="Calibri"/>
          <w:b/>
          <w:bCs/>
          <w:color w:val="1F2A36"/>
          <w:sz w:val="28"/>
          <w:szCs w:val="28"/>
        </w:rPr>
        <w:t xml:space="preserve">Objet</w:t>
      </w:r>
    </w:p>
    <w:p>
      <w:pPr>
        <w:spacing w:after="120" w:before="0"/>
      </w:pPr>
      <w:r>
        <w:rPr>
          <w:rFonts w:ascii="Calibri" w:cs="Calibri" w:eastAsia="Calibri" w:hAnsi="Calibri"/>
          <w:color w:val="1F2A36"/>
          <w:sz w:val="22"/>
          <w:szCs w:val="22"/>
        </w:rPr>
        <w:t xml:space="preserve">Reconstruction complète du site nomadskiguide.com en remplacement de l'installation WordPress actuelle. Le nouveau site conserve le design, l'ensemble des pages, des fiches voyages et des articles existants, et ajoute un espace d'administration simple pour gérer les voyages, les raids, les formations et le blog en autonomie. Il est livré en cinq langues (français, italien, anglais, allemand, néerlandais). Le nom de domaine reste le même, seul l'hébergement change.</w:t>
      </w:r>
    </w:p>
    <w:p>
      <w:pPr>
        <w:pStyle w:val="Heading1"/>
        <w:spacing w:after="120" w:before="320"/>
      </w:pPr>
      <w:r>
        <w:rPr>
          <w:rFonts w:ascii="Calibri" w:cs="Calibri" w:eastAsia="Calibri" w:hAnsi="Calibri"/>
          <w:b/>
          <w:bCs/>
          <w:color w:val="1F2A36"/>
          <w:sz w:val="28"/>
          <w:szCs w:val="28"/>
        </w:rPr>
        <w:t xml:space="preserve">Point de départ</w:t>
      </w:r>
    </w:p>
    <w:p>
      <w:pPr>
        <w:spacing w:after="120" w:before="0"/>
      </w:pPr>
      <w:r>
        <w:rPr>
          <w:rFonts w:ascii="Calibri" w:cs="Calibri" w:eastAsia="Calibri" w:hAnsi="Calibri"/>
          <w:color w:val="1F2A36"/>
          <w:sz w:val="22"/>
          <w:szCs w:val="22"/>
        </w:rPr>
        <w:t xml:space="preserve">Ce devis fait suite à l'audit du site remis séparément. Les points relevés sont tous traités par la refonte, en particulier :</w:t>
      </w:r>
    </w:p>
    <w:p>
      <w:pPr>
        <w:pStyle w:val="ListParagraph"/>
        <w:numPr>
          <w:ilvl w:val="0"/>
          <w:numId w:val="2"/>
        </w:numPr>
        <w:spacing w:after="80"/>
      </w:pPr>
      <w:r>
        <w:rPr>
          <w:rFonts w:ascii="Calibri" w:cs="Calibri" w:eastAsia="Calibri" w:hAnsi="Calibri"/>
          <w:color w:val="1F2A36"/>
          <w:sz w:val="22"/>
          <w:szCs w:val="22"/>
        </w:rPr>
        <w:t xml:space="preserve">la lenteur sur mobile (page d'accueil de 7,5 Mo, score Lighthouse mobile 55) : le nouveau site vise moins de 1 Mo par page et un score supérieur à 90 ;</w:t>
      </w:r>
    </w:p>
    <w:p>
      <w:pPr>
        <w:pStyle w:val="ListParagraph"/>
        <w:numPr>
          <w:ilvl w:val="0"/>
          <w:numId w:val="2"/>
        </w:numPr>
        <w:spacing w:after="80"/>
      </w:pPr>
      <w:r>
        <w:rPr>
          <w:rFonts w:ascii="Calibri" w:cs="Calibri" w:eastAsia="Calibri" w:hAnsi="Calibri"/>
          <w:color w:val="1F2A36"/>
          <w:sz w:val="22"/>
          <w:szCs w:val="22"/>
        </w:rPr>
        <w:t xml:space="preserve">le menu et les boutons qui passent par des redirections en chaîne, et les quatre liens morts répétés sur toutes les pages ;</w:t>
      </w:r>
    </w:p>
    <w:p>
      <w:pPr>
        <w:pStyle w:val="ListParagraph"/>
        <w:numPr>
          <w:ilvl w:val="0"/>
          <w:numId w:val="2"/>
        </w:numPr>
        <w:spacing w:after="80"/>
      </w:pPr>
      <w:r>
        <w:rPr>
          <w:rFonts w:ascii="Calibri" w:cs="Calibri" w:eastAsia="Calibri" w:hAnsi="Calibri"/>
          <w:color w:val="1F2A36"/>
          <w:sz w:val="22"/>
          <w:szCs w:val="22"/>
        </w:rPr>
        <w:t xml:space="preserve">les fiches voyages en double (portfolio et page), les balises incomplètes, les photos sans description ;</w:t>
      </w:r>
    </w:p>
    <w:p>
      <w:pPr>
        <w:pStyle w:val="ListParagraph"/>
        <w:numPr>
          <w:ilvl w:val="0"/>
          <w:numId w:val="2"/>
        </w:numPr>
        <w:spacing w:after="80"/>
      </w:pPr>
      <w:r>
        <w:rPr>
          <w:rFonts w:ascii="Calibri" w:cs="Calibri" w:eastAsia="Calibri" w:hAnsi="Calibri"/>
          <w:color w:val="1F2A36"/>
          <w:sz w:val="22"/>
          <w:szCs w:val="22"/>
        </w:rPr>
        <w:t xml:space="preserve">les traceurs Google chargés avant le consentement, le bandeau cookies non conforme, l'absence d'en-têtes de sécurité ;</w:t>
      </w:r>
    </w:p>
    <w:p>
      <w:pPr>
        <w:pStyle w:val="ListParagraph"/>
        <w:numPr>
          <w:ilvl w:val="0"/>
          <w:numId w:val="2"/>
        </w:numPr>
        <w:spacing w:after="80"/>
      </w:pPr>
      <w:r>
        <w:rPr>
          <w:rFonts w:ascii="Calibri" w:cs="Calibri" w:eastAsia="Calibri" w:hAnsi="Calibri"/>
          <w:color w:val="1F2A36"/>
          <w:sz w:val="22"/>
          <w:szCs w:val="22"/>
        </w:rPr>
        <w:t xml:space="preserve">les 30 extensions WordPress, les 25 mises à jour en attente, les licences expirées et les 24 Go occupés sur le serveur : tout cela disparaît, il n'y a plus rien à maintenir ;</w:t>
      </w:r>
    </w:p>
    <w:p>
      <w:pPr>
        <w:pStyle w:val="ListParagraph"/>
        <w:numPr>
          <w:ilvl w:val="0"/>
          <w:numId w:val="2"/>
        </w:numPr>
        <w:spacing w:after="80"/>
      </w:pPr>
      <w:r>
        <w:rPr>
          <w:rFonts w:ascii="Calibri" w:cs="Calibri" w:eastAsia="Calibri" w:hAnsi="Calibri"/>
          <w:color w:val="1F2A36"/>
          <w:sz w:val="22"/>
          <w:szCs w:val="22"/>
        </w:rPr>
        <w:t xml:space="preserve">la visibilité sur Google limitée aux recherches de marque, malgré 107 articles publiés.</w:t>
      </w:r>
    </w:p>
    <w:p>
      <w:pPr>
        <w:pStyle w:val="Heading1"/>
        <w:spacing w:after="120" w:before="320"/>
      </w:pPr>
      <w:r>
        <w:rPr>
          <w:rFonts w:ascii="Calibri" w:cs="Calibri" w:eastAsia="Calibri" w:hAnsi="Calibri"/>
          <w:b/>
          <w:bCs/>
          <w:color w:val="1F2A36"/>
          <w:sz w:val="28"/>
          <w:szCs w:val="28"/>
        </w:rPr>
        <w:t xml:space="preserve">Référencement : ce qui est garanti</w:t>
      </w:r>
    </w:p>
    <w:p>
      <w:pPr>
        <w:spacing w:after="120" w:before="0"/>
      </w:pPr>
      <w:r>
        <w:rPr>
          <w:rFonts w:ascii="Calibri" w:cs="Calibri" w:eastAsia="Calibri" w:hAnsi="Calibri"/>
          <w:color w:val="1F2A36"/>
          <w:sz w:val="22"/>
          <w:szCs w:val="22"/>
        </w:rPr>
        <w:t xml:space="preserve">Le site est déjà présent dans Google Search Console et indexé depuis plusieurs années. Cette indexation n'est pas perdue : toutes les adresses actuelles en français sont conservées à l'identique, et chaque ancienne adresse encore en circulation (anciens liens du menu, doublons, adresses datées, pages auteur et catégories) est redirigée de façon permanente vers la bonne page, sans chaîne intermédiaire. Google conserve ainsi l'historique de chaque page.</w:t>
      </w:r>
    </w:p>
    <w:p>
      <w:pPr>
        <w:spacing w:after="120" w:before="0"/>
      </w:pPr>
      <w:r>
        <w:rPr>
          <w:rFonts w:ascii="Calibri" w:cs="Calibri" w:eastAsia="Calibri" w:hAnsi="Calibri"/>
          <w:color w:val="1F2A36"/>
          <w:sz w:val="22"/>
          <w:szCs w:val="22"/>
        </w:rPr>
        <w:t xml:space="preserve">Au-delà de la continuité, chaque page est optimisée : titres et descriptions travaillés dans chaque langue, données structurées décrivant précisément le guide, ses qualifications, chaque voyage avec son prix, sa durée et son niveau, fichier de présentation pour les assistants IA, plans de site par langue, balises de langue pour que Google propose la bonne version à chaque visiteur. Le suivi dans Search Console est assuré pendant les 30 jours qui suivent la mise en ligne.</w:t>
      </w:r>
    </w:p>
    <w:p>
      <w:pPr>
        <w:pStyle w:val="Heading1"/>
        <w:spacing w:after="120" w:before="320"/>
      </w:pPr>
      <w:r>
        <w:rPr>
          <w:rFonts w:ascii="Calibri" w:cs="Calibri" w:eastAsia="Calibri" w:hAnsi="Calibri"/>
          <w:b/>
          <w:bCs/>
          <w:color w:val="1F2A36"/>
          <w:sz w:val="28"/>
          <w:szCs w:val="28"/>
        </w:rPr>
        <w:t xml:space="preserve">Ce qui est livré</w:t>
      </w:r>
    </w:p>
    <w:p>
      <w:pPr>
        <w:pStyle w:val="ListParagraph"/>
        <w:numPr>
          <w:ilvl w:val="0"/>
          <w:numId w:val="2"/>
        </w:numPr>
        <w:spacing w:after="80"/>
      </w:pPr>
      <w:r>
        <w:rPr>
          <w:rFonts w:ascii="Calibri" w:cs="Calibri" w:eastAsia="Calibri" w:hAnsi="Calibri"/>
          <w:color w:val="1F2A36"/>
          <w:sz w:val="22"/>
          <w:szCs w:val="22"/>
        </w:rPr>
        <w:t xml:space="preserve">Un site rapide, en cinq langues, au design actuel, avec toutes les pages, les 20 fiches voyages, raids et formations et les 107 articles du blog.</w:t>
      </w:r>
    </w:p>
    <w:p>
      <w:pPr>
        <w:pStyle w:val="ListParagraph"/>
        <w:numPr>
          <w:ilvl w:val="0"/>
          <w:numId w:val="2"/>
        </w:numPr>
        <w:spacing w:after="80"/>
      </w:pPr>
      <w:r>
        <w:rPr>
          <w:rFonts w:ascii="Calibri" w:cs="Calibri" w:eastAsia="Calibri" w:hAnsi="Calibri"/>
          <w:color w:val="1F2A36"/>
          <w:sz w:val="22"/>
          <w:szCs w:val="22"/>
        </w:rPr>
        <w:t xml:space="preserve">Un espace d'administration protégé (identifiant et mot de passe) pour créer et modifier les fiches et les articles, avec envoi de photos, traduction assistée et aperçu du référencement.</w:t>
      </w:r>
    </w:p>
    <w:p>
      <w:pPr>
        <w:pStyle w:val="ListParagraph"/>
        <w:numPr>
          <w:ilvl w:val="0"/>
          <w:numId w:val="2"/>
        </w:numPr>
        <w:spacing w:after="80"/>
      </w:pPr>
      <w:r>
        <w:rPr>
          <w:rFonts w:ascii="Calibri" w:cs="Calibri" w:eastAsia="Calibri" w:hAnsi="Calibri"/>
          <w:color w:val="1F2A36"/>
          <w:sz w:val="22"/>
          <w:szCs w:val="22"/>
        </w:rPr>
        <w:t xml:space="preserve">Le menu Destinations et la page Programme générés automatiquement à partir des fiches.</w:t>
      </w:r>
    </w:p>
    <w:p>
      <w:pPr>
        <w:pStyle w:val="ListParagraph"/>
        <w:numPr>
          <w:ilvl w:val="0"/>
          <w:numId w:val="2"/>
        </w:numPr>
        <w:spacing w:after="80"/>
      </w:pPr>
      <w:r>
        <w:rPr>
          <w:rFonts w:ascii="Calibri" w:cs="Calibri" w:eastAsia="Calibri" w:hAnsi="Calibri"/>
          <w:color w:val="1F2A36"/>
          <w:sz w:val="22"/>
          <w:szCs w:val="22"/>
        </w:rPr>
        <w:t xml:space="preserve">Des formulaires de contact et de réservation, avec historique des demandes.</w:t>
      </w:r>
    </w:p>
    <w:p>
      <w:pPr>
        <w:pStyle w:val="ListParagraph"/>
        <w:numPr>
          <w:ilvl w:val="0"/>
          <w:numId w:val="2"/>
        </w:numPr>
        <w:spacing w:after="80"/>
      </w:pPr>
      <w:r>
        <w:rPr>
          <w:rFonts w:ascii="Calibri" w:cs="Calibri" w:eastAsia="Calibri" w:hAnsi="Calibri"/>
          <w:color w:val="1F2A36"/>
          <w:sz w:val="22"/>
          <w:szCs w:val="22"/>
        </w:rPr>
        <w:t xml:space="preserve">Un plan de redirection complet et le suivi du référencement après la mise en ligne.</w:t>
      </w:r>
    </w:p>
    <w:p>
      <w:pPr>
        <w:pStyle w:val="ListParagraph"/>
        <w:numPr>
          <w:ilvl w:val="0"/>
          <w:numId w:val="2"/>
        </w:numPr>
        <w:spacing w:after="80"/>
      </w:pPr>
      <w:r>
        <w:rPr>
          <w:rFonts w:ascii="Calibri" w:cs="Calibri" w:eastAsia="Calibri" w:hAnsi="Calibri"/>
          <w:color w:val="1F2A36"/>
          <w:sz w:val="22"/>
          <w:szCs w:val="22"/>
        </w:rPr>
        <w:t xml:space="preserve">Un guide d'utilisation en français.</w:t>
      </w:r>
    </w:p>
    <w:p>
      <w:pPr>
        <w:pStyle w:val="Heading1"/>
        <w:spacing w:after="120" w:before="320"/>
      </w:pPr>
      <w:r>
        <w:rPr>
          <w:rFonts w:ascii="Calibri" w:cs="Calibri" w:eastAsia="Calibri" w:hAnsi="Calibri"/>
          <w:b/>
          <w:bCs/>
          <w:color w:val="1F2A36"/>
          <w:sz w:val="28"/>
          <w:szCs w:val="28"/>
        </w:rPr>
        <w:t xml:space="preserve">Détail des prestations et coûts</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7640"/>
        <w:gridCol w:w="2000"/>
      </w:tblGrid>
      <w:tr>
        <w:trPr>
          <w:tblHeader/>
        </w:trPr>
        <w:tc>
          <w:tcPr>
            <w:tcW w:type="dxa" w:w="7640"/>
            <w:tcBorders>
              <w:top w:val="single" w:color="C9D1D9" w:sz="4"/>
              <w:left w:val="single" w:color="C9D1D9" w:sz="4"/>
              <w:bottom w:val="single" w:color="C9D1D9" w:sz="4"/>
              <w:right w:val="single" w:color="C9D1D9" w:sz="4"/>
            </w:tcBorders>
            <w:shd w:fill="F3F5F7" w:color="auto" w:val="clear"/>
            <w:tcMar>
              <w:top w:type="dxa" w:w="90"/>
              <w:left w:type="dxa" w:w="120"/>
              <w:bottom w:type="dxa" w:w="90"/>
              <w:right w:type="dxa" w:w="120"/>
            </w:tcMar>
            <w:vAlign w:val="top"/>
          </w:tcPr>
          <w:p>
            <w:pPr>
              <w:spacing w:after="0" w:before="0"/>
            </w:pPr>
            <w:r>
              <w:rPr>
                <w:rFonts w:ascii="Calibri" w:cs="Calibri" w:eastAsia="Calibri" w:hAnsi="Calibri"/>
                <w:b/>
                <w:bCs/>
                <w:color w:val="6B7A89"/>
                <w:sz w:val="20"/>
                <w:szCs w:val="20"/>
              </w:rPr>
              <w:t xml:space="preserve">Prestation</w:t>
            </w:r>
          </w:p>
        </w:tc>
        <w:tc>
          <w:tcPr>
            <w:tcW w:type="dxa" w:w="2000"/>
            <w:tcBorders>
              <w:top w:val="single" w:color="C9D1D9" w:sz="4"/>
              <w:left w:val="single" w:color="C9D1D9" w:sz="4"/>
              <w:bottom w:val="single" w:color="C9D1D9" w:sz="4"/>
              <w:right w:val="single" w:color="C9D1D9" w:sz="4"/>
            </w:tcBorders>
            <w:shd w:fill="F3F5F7" w:color="auto" w:val="clear"/>
            <w:tcMar>
              <w:top w:type="dxa" w:w="90"/>
              <w:left w:type="dxa" w:w="120"/>
              <w:bottom w:type="dxa" w:w="90"/>
              <w:right w:type="dxa" w:w="120"/>
            </w:tcMar>
            <w:vAlign w:val="top"/>
          </w:tcPr>
          <w:p>
            <w:pPr>
              <w:spacing w:after="0" w:before="0"/>
              <w:jc w:val="right"/>
            </w:pPr>
            <w:r>
              <w:rPr>
                <w:rFonts w:ascii="Calibri" w:cs="Calibri" w:eastAsia="Calibri" w:hAnsi="Calibri"/>
                <w:b/>
                <w:bCs/>
                <w:color w:val="6B7A89"/>
                <w:sz w:val="20"/>
                <w:szCs w:val="20"/>
              </w:rPr>
              <w:t xml:space="preserve">Montant</w:t>
            </w:r>
          </w:p>
        </w:tc>
      </w:tr>
      <w:tr>
        <w:tc>
          <w:tcPr>
            <w:tcW w:type="dxa" w:w="764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40" w:before="0"/>
            </w:pPr>
            <w:r>
              <w:rPr>
                <w:rFonts w:ascii="Calibri" w:cs="Calibri" w:eastAsia="Calibri" w:hAnsi="Calibri"/>
                <w:b/>
                <w:bCs/>
                <w:color w:val="1F2A36"/>
                <w:sz w:val="22"/>
                <w:szCs w:val="22"/>
              </w:rPr>
              <w:t xml:space="preserve">1. Socle du nouveau site</w:t>
            </w:r>
          </w:p>
          <w:p>
            <w:pPr>
              <w:spacing w:after="0" w:before="0"/>
            </w:pPr>
            <w:r>
              <w:rPr>
                <w:rFonts w:ascii="Calibri" w:cs="Calibri" w:eastAsia="Calibri" w:hAnsi="Calibri"/>
                <w:color w:val="3D4C5B"/>
                <w:sz w:val="20"/>
                <w:szCs w:val="20"/>
              </w:rPr>
              <w:t xml:space="preserve">Reconstruction du site sur une base moderne et légère, hébergement performant, reprise fidèle du design actuel (couleurs, typographies, mise en page), structure prête pour cinq langues.</w:t>
            </w:r>
          </w:p>
        </w:tc>
        <w:tc>
          <w:tcPr>
            <w:tcW w:type="dxa" w:w="200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0" w:before="0"/>
              <w:jc w:val="right"/>
            </w:pPr>
            <w:r>
              <w:rPr>
                <w:rFonts w:ascii="Calibri" w:cs="Calibri" w:eastAsia="Calibri" w:hAnsi="Calibri"/>
                <w:color w:val="1F2A36"/>
                <w:sz w:val="22"/>
                <w:szCs w:val="22"/>
              </w:rPr>
              <w:t xml:space="preserve">260,00 €</w:t>
            </w:r>
          </w:p>
        </w:tc>
      </w:tr>
      <w:tr>
        <w:tc>
          <w:tcPr>
            <w:tcW w:type="dxa" w:w="764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40" w:before="0"/>
            </w:pPr>
            <w:r>
              <w:rPr>
                <w:rFonts w:ascii="Calibri" w:cs="Calibri" w:eastAsia="Calibri" w:hAnsi="Calibri"/>
                <w:b/>
                <w:bCs/>
                <w:color w:val="1F2A36"/>
                <w:sz w:val="22"/>
                <w:szCs w:val="22"/>
              </w:rPr>
              <w:t xml:space="preserve">2. Pages du site</w:t>
            </w:r>
          </w:p>
          <w:p>
            <w:pPr>
              <w:spacing w:after="0" w:before="0"/>
            </w:pPr>
            <w:r>
              <w:rPr>
                <w:rFonts w:ascii="Calibri" w:cs="Calibri" w:eastAsia="Calibri" w:hAnsi="Calibri"/>
                <w:color w:val="3D4C5B"/>
                <w:sz w:val="20"/>
                <w:szCs w:val="20"/>
              </w:rPr>
              <w:t xml:space="preserve">Reprise de l'ensemble des pages actuelles (accueil, destinations, raids, formations, programme, guide et expertise, FAQ, contact, partenaires, conditions générales de vente) avec leur contenu et leurs images.</w:t>
            </w:r>
          </w:p>
        </w:tc>
        <w:tc>
          <w:tcPr>
            <w:tcW w:type="dxa" w:w="200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0" w:before="0"/>
              <w:jc w:val="right"/>
            </w:pPr>
            <w:r>
              <w:rPr>
                <w:rFonts w:ascii="Calibri" w:cs="Calibri" w:eastAsia="Calibri" w:hAnsi="Calibri"/>
                <w:color w:val="1F2A36"/>
                <w:sz w:val="22"/>
                <w:szCs w:val="22"/>
              </w:rPr>
              <w:t xml:space="preserve">350,00 €</w:t>
            </w:r>
          </w:p>
        </w:tc>
      </w:tr>
      <w:tr>
        <w:tc>
          <w:tcPr>
            <w:tcW w:type="dxa" w:w="764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40" w:before="0"/>
            </w:pPr>
            <w:r>
              <w:rPr>
                <w:rFonts w:ascii="Calibri" w:cs="Calibri" w:eastAsia="Calibri" w:hAnsi="Calibri"/>
                <w:b/>
                <w:bCs/>
                <w:color w:val="1F2A36"/>
                <w:sz w:val="22"/>
                <w:szCs w:val="22"/>
              </w:rPr>
              <w:t xml:space="preserve">3. Fiches voyages, raids et formations</w:t>
            </w:r>
          </w:p>
          <w:p>
            <w:pPr>
              <w:spacing w:after="0" w:before="0"/>
            </w:pPr>
            <w:r>
              <w:rPr>
                <w:rFonts w:ascii="Calibri" w:cs="Calibri" w:eastAsia="Calibri" w:hAnsi="Calibri"/>
                <w:color w:val="3D4C5B"/>
                <w:sz w:val="20"/>
                <w:szCs w:val="20"/>
              </w:rPr>
              <w:t xml:space="preserve">Un modèle unique pour les 20 fiches existantes, reprises à l'identique. Espace d'administration protégé par identifiant et mot de passe pour créer et modifier les fiches en autonomie (textes, photos, tarifs, dates, niveau, groupe, hébergement). Le menu Destinations et la page Programme se mettent à jour automatiquement.</w:t>
            </w:r>
          </w:p>
        </w:tc>
        <w:tc>
          <w:tcPr>
            <w:tcW w:type="dxa" w:w="200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0" w:before="0"/>
              <w:jc w:val="right"/>
            </w:pPr>
            <w:r>
              <w:rPr>
                <w:rFonts w:ascii="Calibri" w:cs="Calibri" w:eastAsia="Calibri" w:hAnsi="Calibri"/>
                <w:color w:val="1F2A36"/>
                <w:sz w:val="22"/>
                <w:szCs w:val="22"/>
              </w:rPr>
              <w:t xml:space="preserve">430,00 €</w:t>
            </w:r>
          </w:p>
        </w:tc>
      </w:tr>
      <w:tr>
        <w:tc>
          <w:tcPr>
            <w:tcW w:type="dxa" w:w="764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40" w:before="0"/>
            </w:pPr>
            <w:r>
              <w:rPr>
                <w:rFonts w:ascii="Calibri" w:cs="Calibri" w:eastAsia="Calibri" w:hAnsi="Calibri"/>
                <w:b/>
                <w:bCs/>
                <w:color w:val="1F2A36"/>
                <w:sz w:val="22"/>
                <w:szCs w:val="22"/>
              </w:rPr>
              <w:t xml:space="preserve">4. Blog</w:t>
            </w:r>
          </w:p>
          <w:p>
            <w:pPr>
              <w:spacing w:after="0" w:before="0"/>
            </w:pPr>
            <w:r>
              <w:rPr>
                <w:rFonts w:ascii="Calibri" w:cs="Calibri" w:eastAsia="Calibri" w:hAnsi="Calibri"/>
                <w:color w:val="3D4C5B"/>
                <w:sz w:val="20"/>
                <w:szCs w:val="20"/>
              </w:rPr>
              <w:t xml:space="preserve">Espace d'administration pour rédiger et publier les articles (texte, image de couverture, galerie photo), avec reprise des 107 articles existants et de leurs photos.</w:t>
            </w:r>
          </w:p>
        </w:tc>
        <w:tc>
          <w:tcPr>
            <w:tcW w:type="dxa" w:w="200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0" w:before="0"/>
              <w:jc w:val="right"/>
            </w:pPr>
            <w:r>
              <w:rPr>
                <w:rFonts w:ascii="Calibri" w:cs="Calibri" w:eastAsia="Calibri" w:hAnsi="Calibri"/>
                <w:color w:val="1F2A36"/>
                <w:sz w:val="22"/>
                <w:szCs w:val="22"/>
              </w:rPr>
              <w:t xml:space="preserve">350,00 €</w:t>
            </w:r>
          </w:p>
        </w:tc>
      </w:tr>
      <w:tr>
        <w:tc>
          <w:tcPr>
            <w:tcW w:type="dxa" w:w="764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40" w:before="0"/>
            </w:pPr>
            <w:r>
              <w:rPr>
                <w:rFonts w:ascii="Calibri" w:cs="Calibri" w:eastAsia="Calibri" w:hAnsi="Calibri"/>
                <w:b/>
                <w:bCs/>
                <w:color w:val="1F2A36"/>
                <w:sz w:val="22"/>
                <w:szCs w:val="22"/>
              </w:rPr>
              <w:t xml:space="preserve">5. Site en cinq langues</w:t>
            </w:r>
          </w:p>
          <w:p>
            <w:pPr>
              <w:spacing w:after="0" w:before="0"/>
            </w:pPr>
            <w:r>
              <w:rPr>
                <w:rFonts w:ascii="Calibri" w:cs="Calibri" w:eastAsia="Calibri" w:hAnsi="Calibri"/>
                <w:color w:val="3D4C5B"/>
                <w:sz w:val="20"/>
                <w:szCs w:val="20"/>
              </w:rPr>
              <w:t xml:space="preserve">Français, italien, anglais, allemand, néerlandais. Traduction de toutes les pages, des 20 fiches et des 107 articles existants. Dans l'espace d'administration, un bouton génère la traduction des nouveaux contenus dans les quatre autres langues à partir du français, à relire avant publication.</w:t>
            </w:r>
          </w:p>
        </w:tc>
        <w:tc>
          <w:tcPr>
            <w:tcW w:type="dxa" w:w="200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0" w:before="0"/>
              <w:jc w:val="right"/>
            </w:pPr>
            <w:r>
              <w:rPr>
                <w:rFonts w:ascii="Calibri" w:cs="Calibri" w:eastAsia="Calibri" w:hAnsi="Calibri"/>
                <w:color w:val="1F2A36"/>
                <w:sz w:val="22"/>
                <w:szCs w:val="22"/>
              </w:rPr>
              <w:t xml:space="preserve">430,00 €</w:t>
            </w:r>
          </w:p>
        </w:tc>
      </w:tr>
      <w:tr>
        <w:tc>
          <w:tcPr>
            <w:tcW w:type="dxa" w:w="764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40" w:before="0"/>
            </w:pPr>
            <w:r>
              <w:rPr>
                <w:rFonts w:ascii="Calibri" w:cs="Calibri" w:eastAsia="Calibri" w:hAnsi="Calibri"/>
                <w:b/>
                <w:bCs/>
                <w:color w:val="1F2A36"/>
                <w:sz w:val="22"/>
                <w:szCs w:val="22"/>
              </w:rPr>
              <w:t xml:space="preserve">6. Formulaires de contact et de réservation</w:t>
            </w:r>
          </w:p>
          <w:p>
            <w:pPr>
              <w:spacing w:after="0" w:before="0"/>
            </w:pPr>
            <w:r>
              <w:rPr>
                <w:rFonts w:ascii="Calibri" w:cs="Calibri" w:eastAsia="Calibri" w:hAnsi="Calibri"/>
                <w:color w:val="3D4C5B"/>
                <w:sz w:val="20"/>
                <w:szCs w:val="20"/>
              </w:rPr>
              <w:t xml:space="preserve">Formulaire de contact et formulaire de demande de réservation prérempli depuis chaque fiche voyage. Réception par e-mail, historique des demandes consultable dans l'espace d'administration, protection anti-spam invisible.</w:t>
            </w:r>
          </w:p>
        </w:tc>
        <w:tc>
          <w:tcPr>
            <w:tcW w:type="dxa" w:w="200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0" w:before="0"/>
              <w:jc w:val="right"/>
            </w:pPr>
            <w:r>
              <w:rPr>
                <w:rFonts w:ascii="Calibri" w:cs="Calibri" w:eastAsia="Calibri" w:hAnsi="Calibri"/>
                <w:color w:val="1F2A36"/>
                <w:sz w:val="22"/>
                <w:szCs w:val="22"/>
              </w:rPr>
              <w:t xml:space="preserve">130,00 €</w:t>
            </w:r>
          </w:p>
        </w:tc>
      </w:tr>
      <w:tr>
        <w:tc>
          <w:tcPr>
            <w:tcW w:type="dxa" w:w="764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40" w:before="0"/>
            </w:pPr>
            <w:r>
              <w:rPr>
                <w:rFonts w:ascii="Calibri" w:cs="Calibri" w:eastAsia="Calibri" w:hAnsi="Calibri"/>
                <w:b/>
                <w:bCs/>
                <w:color w:val="1F2A36"/>
                <w:sz w:val="22"/>
                <w:szCs w:val="22"/>
              </w:rPr>
              <w:t xml:space="preserve">7. Référencement, conformité et sécurité</w:t>
            </w:r>
          </w:p>
          <w:p>
            <w:pPr>
              <w:spacing w:after="0" w:before="0"/>
            </w:pPr>
            <w:r>
              <w:rPr>
                <w:rFonts w:ascii="Calibri" w:cs="Calibri" w:eastAsia="Calibri" w:hAnsi="Calibri"/>
                <w:color w:val="3D4C5B"/>
                <w:sz w:val="20"/>
                <w:szCs w:val="20"/>
              </w:rPr>
              <w:t xml:space="preserve">Reprise de l'indexation Google existante sans perte (plan de redirection complet), optimisation de chaque page pour Google et pour les assistants IA (ChatGPT, Gemini, Perplexity), bandeau cookies conforme CNIL, suivi statistique propre, en-têtes de sécurité, correction de l'ensemble des points relevés dans l'audit.</w:t>
            </w:r>
          </w:p>
        </w:tc>
        <w:tc>
          <w:tcPr>
            <w:tcW w:type="dxa" w:w="200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0" w:before="0"/>
              <w:jc w:val="right"/>
            </w:pPr>
            <w:r>
              <w:rPr>
                <w:rFonts w:ascii="Calibri" w:cs="Calibri" w:eastAsia="Calibri" w:hAnsi="Calibri"/>
                <w:color w:val="1F2A36"/>
                <w:sz w:val="22"/>
                <w:szCs w:val="22"/>
              </w:rPr>
              <w:t xml:space="preserve">300,00 €</w:t>
            </w:r>
          </w:p>
        </w:tc>
      </w:tr>
      <w:tr>
        <w:tc>
          <w:tcPr>
            <w:tcW w:type="dxa" w:w="764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40" w:before="0"/>
            </w:pPr>
            <w:r>
              <w:rPr>
                <w:rFonts w:ascii="Calibri" w:cs="Calibri" w:eastAsia="Calibri" w:hAnsi="Calibri"/>
                <w:b/>
                <w:bCs/>
                <w:color w:val="1F2A36"/>
                <w:sz w:val="22"/>
                <w:szCs w:val="22"/>
              </w:rPr>
              <w:t xml:space="preserve">8. Photos</w:t>
            </w:r>
          </w:p>
          <w:p>
            <w:pPr>
              <w:spacing w:after="0" w:before="0"/>
            </w:pPr>
            <w:r>
              <w:rPr>
                <w:rFonts w:ascii="Calibri" w:cs="Calibri" w:eastAsia="Calibri" w:hAnsi="Calibri"/>
                <w:color w:val="3D4C5B"/>
                <w:sz w:val="20"/>
                <w:szCs w:val="20"/>
              </w:rPr>
              <w:t xml:space="preserve">Récupération de toutes les photos utilisées sur le site, redimensionnement et conversion aux formats web légers. Les nouvelles photos envoyées depuis l'espace d'administration sont optimisées automatiquement.</w:t>
            </w:r>
          </w:p>
        </w:tc>
        <w:tc>
          <w:tcPr>
            <w:tcW w:type="dxa" w:w="200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0" w:before="0"/>
              <w:jc w:val="right"/>
            </w:pPr>
            <w:r>
              <w:rPr>
                <w:rFonts w:ascii="Calibri" w:cs="Calibri" w:eastAsia="Calibri" w:hAnsi="Calibri"/>
                <w:color w:val="1F2A36"/>
                <w:sz w:val="22"/>
                <w:szCs w:val="22"/>
              </w:rPr>
              <w:t xml:space="preserve">130,00 €</w:t>
            </w:r>
          </w:p>
        </w:tc>
      </w:tr>
      <w:tr>
        <w:tc>
          <w:tcPr>
            <w:tcW w:type="dxa" w:w="764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40" w:before="0"/>
            </w:pPr>
            <w:r>
              <w:rPr>
                <w:rFonts w:ascii="Calibri" w:cs="Calibri" w:eastAsia="Calibri" w:hAnsi="Calibri"/>
                <w:b/>
                <w:bCs/>
                <w:color w:val="1F2A36"/>
                <w:sz w:val="22"/>
                <w:szCs w:val="22"/>
              </w:rPr>
              <w:t xml:space="preserve">9. Tests, mise en ligne et accompagnement</w:t>
            </w:r>
          </w:p>
          <w:p>
            <w:pPr>
              <w:spacing w:after="0" w:before="0"/>
            </w:pPr>
            <w:r>
              <w:rPr>
                <w:rFonts w:ascii="Calibri" w:cs="Calibri" w:eastAsia="Calibri" w:hAnsi="Calibri"/>
                <w:color w:val="3D4C5B"/>
                <w:sz w:val="20"/>
                <w:szCs w:val="20"/>
              </w:rPr>
              <w:t xml:space="preserve">Site de prévisualisation pour validation, mise en ligne sans interruption du domaine, surveillance du référencement pendant 30 jours après la mise en ligne, guide d'utilisation de l'espace d'administration en français.</w:t>
            </w:r>
          </w:p>
        </w:tc>
        <w:tc>
          <w:tcPr>
            <w:tcW w:type="dxa" w:w="200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0" w:before="0"/>
              <w:jc w:val="right"/>
            </w:pPr>
            <w:r>
              <w:rPr>
                <w:rFonts w:ascii="Calibri" w:cs="Calibri" w:eastAsia="Calibri" w:hAnsi="Calibri"/>
                <w:color w:val="1F2A36"/>
                <w:sz w:val="22"/>
                <w:szCs w:val="22"/>
              </w:rPr>
              <w:t xml:space="preserve">220,00 €</w:t>
            </w:r>
          </w:p>
        </w:tc>
      </w:tr>
      <w:tr>
        <w:tc>
          <w:tcPr>
            <w:tcW w:type="dxa" w:w="7640"/>
            <w:tcBorders>
              <w:top w:val="single" w:color="C9D1D9" w:sz="4"/>
              <w:left w:val="single" w:color="C9D1D9" w:sz="4"/>
              <w:bottom w:val="single" w:color="C9D1D9" w:sz="4"/>
              <w:right w:val="single" w:color="C9D1D9" w:sz="4"/>
            </w:tcBorders>
            <w:shd w:fill="F3F5F7" w:color="auto" w:val="clear"/>
            <w:tcMar>
              <w:top w:type="dxa" w:w="90"/>
              <w:left w:type="dxa" w:w="120"/>
              <w:bottom w:type="dxa" w:w="90"/>
              <w:right w:type="dxa" w:w="120"/>
            </w:tcMar>
            <w:vAlign w:val="top"/>
          </w:tcPr>
          <w:p>
            <w:pPr>
              <w:spacing w:after="0" w:before="0"/>
            </w:pPr>
            <w:r>
              <w:rPr>
                <w:rFonts w:ascii="Calibri" w:cs="Calibri" w:eastAsia="Calibri" w:hAnsi="Calibri"/>
                <w:b/>
                <w:bCs/>
                <w:color w:val="1F2A36"/>
                <w:sz w:val="22"/>
                <w:szCs w:val="22"/>
              </w:rPr>
              <w:t xml:space="preserve">Sous-total</w:t>
            </w:r>
          </w:p>
        </w:tc>
        <w:tc>
          <w:tcPr>
            <w:tcW w:type="dxa" w:w="2000"/>
            <w:tcBorders>
              <w:top w:val="single" w:color="C9D1D9" w:sz="4"/>
              <w:left w:val="single" w:color="C9D1D9" w:sz="4"/>
              <w:bottom w:val="single" w:color="C9D1D9" w:sz="4"/>
              <w:right w:val="single" w:color="C9D1D9" w:sz="4"/>
            </w:tcBorders>
            <w:shd w:fill="F3F5F7" w:color="auto" w:val="clear"/>
            <w:tcMar>
              <w:top w:type="dxa" w:w="90"/>
              <w:left w:type="dxa" w:w="120"/>
              <w:bottom w:type="dxa" w:w="90"/>
              <w:right w:type="dxa" w:w="120"/>
            </w:tcMar>
            <w:vAlign w:val="top"/>
          </w:tcPr>
          <w:p>
            <w:pPr>
              <w:spacing w:after="0" w:before="0"/>
              <w:jc w:val="right"/>
            </w:pPr>
            <w:r>
              <w:rPr>
                <w:rFonts w:ascii="Calibri" w:cs="Calibri" w:eastAsia="Calibri" w:hAnsi="Calibri"/>
                <w:b/>
                <w:bCs/>
                <w:color w:val="1F2A36"/>
                <w:sz w:val="22"/>
                <w:szCs w:val="22"/>
              </w:rPr>
              <w:t xml:space="preserve">2 600,00 €</w:t>
            </w:r>
          </w:p>
        </w:tc>
      </w:tr>
      <w:tr>
        <w:tc>
          <w:tcPr>
            <w:tcW w:type="dxa" w:w="764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0" w:before="0"/>
            </w:pPr>
            <w:r>
              <w:rPr>
                <w:rFonts w:ascii="Calibri" w:cs="Calibri" w:eastAsia="Calibri" w:hAnsi="Calibri"/>
                <w:color w:val="1F2A36"/>
                <w:sz w:val="22"/>
                <w:szCs w:val="22"/>
              </w:rPr>
              <w:t xml:space="preserve">Remise commerciale</w:t>
            </w:r>
          </w:p>
        </w:tc>
        <w:tc>
          <w:tcPr>
            <w:tcW w:type="dxa" w:w="200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0" w:before="0"/>
              <w:jc w:val="right"/>
            </w:pPr>
            <w:r>
              <w:rPr>
                <w:rFonts w:ascii="Calibri" w:cs="Calibri" w:eastAsia="Calibri" w:hAnsi="Calibri"/>
                <w:color w:val="1F2A36"/>
                <w:sz w:val="22"/>
                <w:szCs w:val="22"/>
              </w:rPr>
              <w:t xml:space="preserve">- 600,00 €</w:t>
            </w:r>
          </w:p>
        </w:tc>
      </w:tr>
      <w:tr>
        <w:tc>
          <w:tcPr>
            <w:tcW w:type="dxa" w:w="7640"/>
            <w:tcBorders>
              <w:top w:val="single" w:color="C9D1D9" w:sz="4"/>
              <w:left w:val="single" w:color="C9D1D9" w:sz="4"/>
              <w:bottom w:val="single" w:color="C9D1D9" w:sz="4"/>
              <w:right w:val="single" w:color="C9D1D9" w:sz="4"/>
            </w:tcBorders>
            <w:shd w:fill="F3F5F7" w:color="auto" w:val="clear"/>
            <w:tcMar>
              <w:top w:type="dxa" w:w="90"/>
              <w:left w:type="dxa" w:w="120"/>
              <w:bottom w:type="dxa" w:w="90"/>
              <w:right w:type="dxa" w:w="120"/>
            </w:tcMar>
            <w:vAlign w:val="top"/>
          </w:tcPr>
          <w:p>
            <w:pPr>
              <w:spacing w:after="0" w:before="0"/>
            </w:pPr>
            <w:r>
              <w:rPr>
                <w:rFonts w:ascii="Calibri" w:cs="Calibri" w:eastAsia="Calibri" w:hAnsi="Calibri"/>
                <w:b/>
                <w:bCs/>
                <w:color w:val="1F2A36"/>
                <w:sz w:val="22"/>
                <w:szCs w:val="22"/>
              </w:rPr>
              <w:t xml:space="preserve">Total net</w:t>
            </w:r>
          </w:p>
        </w:tc>
        <w:tc>
          <w:tcPr>
            <w:tcW w:type="dxa" w:w="2000"/>
            <w:tcBorders>
              <w:top w:val="single" w:color="C9D1D9" w:sz="4"/>
              <w:left w:val="single" w:color="C9D1D9" w:sz="4"/>
              <w:bottom w:val="single" w:color="C9D1D9" w:sz="4"/>
              <w:right w:val="single" w:color="C9D1D9" w:sz="4"/>
            </w:tcBorders>
            <w:shd w:fill="F3F5F7" w:color="auto" w:val="clear"/>
            <w:tcMar>
              <w:top w:type="dxa" w:w="90"/>
              <w:left w:type="dxa" w:w="120"/>
              <w:bottom w:type="dxa" w:w="90"/>
              <w:right w:type="dxa" w:w="120"/>
            </w:tcMar>
            <w:vAlign w:val="top"/>
          </w:tcPr>
          <w:p>
            <w:pPr>
              <w:spacing w:after="0" w:before="0"/>
              <w:jc w:val="right"/>
            </w:pPr>
            <w:r>
              <w:rPr>
                <w:rFonts w:ascii="Calibri" w:cs="Calibri" w:eastAsia="Calibri" w:hAnsi="Calibri"/>
                <w:b/>
                <w:bCs/>
                <w:color w:val="1F2A36"/>
                <w:sz w:val="22"/>
                <w:szCs w:val="22"/>
              </w:rPr>
              <w:t xml:space="preserve">2 000,00 €</w:t>
            </w:r>
          </w:p>
        </w:tc>
      </w:tr>
    </w:tbl>
    <w:p>
      <w:pPr>
        <w:spacing w:after="120" w:before="120"/>
      </w:pPr>
      <w:r>
        <w:rPr>
          <w:rFonts w:ascii="Calibri" w:cs="Calibri" w:eastAsia="Calibri" w:hAnsi="Calibri"/>
          <w:color w:val="6B7A89"/>
          <w:sz w:val="20"/>
          <w:szCs w:val="20"/>
        </w:rPr>
        <w:t xml:space="preserve">Montants hors taxes et hors éventuelles charges légales applicables.</w:t>
      </w:r>
    </w:p>
    <w:p>
      <w:pPr>
        <w:pStyle w:val="Heading1"/>
        <w:spacing w:after="120" w:before="320"/>
      </w:pPr>
      <w:r>
        <w:rPr>
          <w:rFonts w:ascii="Calibri" w:cs="Calibri" w:eastAsia="Calibri" w:hAnsi="Calibri"/>
          <w:b/>
          <w:bCs/>
          <w:color w:val="1F2A36"/>
          <w:sz w:val="28"/>
          <w:szCs w:val="28"/>
        </w:rPr>
        <w:t xml:space="preserve">Délais</w:t>
      </w:r>
    </w:p>
    <w:p>
      <w:pPr>
        <w:spacing w:after="120" w:before="0"/>
      </w:pPr>
      <w:r>
        <w:rPr>
          <w:rFonts w:ascii="Calibri" w:cs="Calibri" w:eastAsia="Calibri" w:hAnsi="Calibri"/>
          <w:color w:val="1F2A36"/>
          <w:sz w:val="22"/>
          <w:szCs w:val="22"/>
        </w:rPr>
        <w:t xml:space="preserve">Le travail est réalisé sur environ deux mois à compter de l'acceptation du devis et de la réception de l'acompte. Un site de prévisualisation est mis à disposition en cours de projet pour valider les pages, les fiches et les traductions avant la mise en ligne. La bascule du domaine se fait sans interruption visible, le site actuel restant accessible jusqu'au dernier moment.</w:t>
      </w:r>
    </w:p>
    <w:p>
      <w:pPr>
        <w:pStyle w:val="Heading1"/>
        <w:spacing w:after="120" w:before="320"/>
      </w:pPr>
      <w:r>
        <w:rPr>
          <w:rFonts w:ascii="Calibri" w:cs="Calibri" w:eastAsia="Calibri" w:hAnsi="Calibri"/>
          <w:b/>
          <w:bCs/>
          <w:color w:val="1F2A36"/>
          <w:sz w:val="28"/>
          <w:szCs w:val="28"/>
        </w:rPr>
        <w:t xml:space="preserve">Modalités de paiement</w:t>
      </w:r>
    </w:p>
    <w:p>
      <w:pPr>
        <w:pStyle w:val="ListParagraph"/>
        <w:numPr>
          <w:ilvl w:val="0"/>
          <w:numId w:val="2"/>
        </w:numPr>
        <w:spacing w:after="80"/>
      </w:pPr>
      <w:r>
        <w:rPr>
          <w:rFonts w:ascii="Calibri" w:cs="Calibri" w:eastAsia="Calibri" w:hAnsi="Calibri"/>
          <w:color w:val="1F2A36"/>
          <w:sz w:val="22"/>
          <w:szCs w:val="22"/>
        </w:rPr>
        <w:t xml:space="preserve">30 % à la commande : 600,00 €</w:t>
      </w:r>
    </w:p>
    <w:p>
      <w:pPr>
        <w:pStyle w:val="ListParagraph"/>
        <w:numPr>
          <w:ilvl w:val="0"/>
          <w:numId w:val="2"/>
        </w:numPr>
        <w:spacing w:after="80"/>
      </w:pPr>
      <w:r>
        <w:rPr>
          <w:rFonts w:ascii="Calibri" w:cs="Calibri" w:eastAsia="Calibri" w:hAnsi="Calibri"/>
          <w:color w:val="1F2A36"/>
          <w:sz w:val="22"/>
          <w:szCs w:val="22"/>
        </w:rPr>
        <w:t xml:space="preserve">70 % à la mise en ligne : 1 400,00 €</w:t>
      </w:r>
    </w:p>
    <w:p>
      <w:pPr>
        <w:spacing w:after="120" w:before="0"/>
      </w:pPr>
      <w:r>
        <w:rPr>
          <w:rFonts w:ascii="Calibri" w:cs="Calibri" w:eastAsia="Calibri" w:hAnsi="Calibri"/>
          <w:color w:val="1F2A36"/>
          <w:sz w:val="22"/>
          <w:szCs w:val="22"/>
        </w:rPr>
        <w:t xml:space="preserve">Le versement de l'acompte marque le démarrage des travaux.</w:t>
      </w:r>
    </w:p>
    <w:p>
      <w:pPr>
        <w:pStyle w:val="Heading1"/>
        <w:spacing w:after="120" w:before="320"/>
      </w:pPr>
      <w:r>
        <w:rPr>
          <w:rFonts w:ascii="Calibri" w:cs="Calibri" w:eastAsia="Calibri" w:hAnsi="Calibri"/>
          <w:b/>
          <w:bCs/>
          <w:color w:val="1F2A36"/>
          <w:sz w:val="28"/>
          <w:szCs w:val="28"/>
        </w:rPr>
        <w:t xml:space="preserve">Coûts de fonctionnement après la mise en ligne</w:t>
      </w:r>
    </w:p>
    <w:p>
      <w:pPr>
        <w:spacing w:after="120" w:before="0"/>
      </w:pPr>
      <w:r>
        <w:rPr>
          <w:rFonts w:ascii="Calibri" w:cs="Calibri" w:eastAsia="Calibri" w:hAnsi="Calibri"/>
          <w:color w:val="1F2A36"/>
          <w:sz w:val="22"/>
          <w:szCs w:val="22"/>
        </w:rPr>
        <w:t xml:space="preserve">Le nouveau site est hébergé sur une infrastructure sans abonnement pour ce volume de trafic. Le nom de domaine et les adresses e-mail restent chez le fournisseur actuel, sans changement. Seule la traduction assistée des nouveaux contenus utilise un service facturé à l'usage, de l'ordre de quelques euros par an. L'hébergement WordPress actuel, ainsi que les licences du thème et des extensions, peuvent être résiliés 30 jours après la mise en ligne.</w:t>
      </w:r>
    </w:p>
    <w:p>
      <w:pPr>
        <w:pStyle w:val="Heading1"/>
        <w:spacing w:after="120" w:before="320"/>
      </w:pPr>
      <w:r>
        <w:rPr>
          <w:rFonts w:ascii="Calibri" w:cs="Calibri" w:eastAsia="Calibri" w:hAnsi="Calibri"/>
          <w:b/>
          <w:bCs/>
          <w:color w:val="1F2A36"/>
          <w:sz w:val="28"/>
          <w:szCs w:val="28"/>
        </w:rPr>
        <w:t xml:space="preserve">Compatibilité</w:t>
      </w:r>
    </w:p>
    <w:p>
      <w:pPr>
        <w:spacing w:after="120" w:before="0"/>
      </w:pPr>
      <w:r>
        <w:rPr>
          <w:rFonts w:ascii="Calibri" w:cs="Calibri" w:eastAsia="Calibri" w:hAnsi="Calibri"/>
          <w:color w:val="1F2A36"/>
          <w:sz w:val="22"/>
          <w:szCs w:val="22"/>
        </w:rPr>
        <w:t xml:space="preserve">Le site est conçu pour ordinateur, tablette et smartphone, sur les navigateurs récents (Chrome, Safari, Firefox, Edge). L'espace d'administration est utilisable sur ordinateur et tablette.</w:t>
      </w:r>
    </w:p>
    <w:p>
      <w:pPr>
        <w:pStyle w:val="Heading1"/>
        <w:spacing w:after="120" w:before="320"/>
      </w:pPr>
      <w:r>
        <w:rPr>
          <w:rFonts w:ascii="Calibri" w:cs="Calibri" w:eastAsia="Calibri" w:hAnsi="Calibri"/>
          <w:b/>
          <w:bCs/>
          <w:color w:val="1F2A36"/>
          <w:sz w:val="28"/>
          <w:szCs w:val="28"/>
        </w:rPr>
        <w:t xml:space="preserve">Ce qui n'est pas inclus</w:t>
      </w:r>
    </w:p>
    <w:p>
      <w:pPr>
        <w:pStyle w:val="ListParagraph"/>
        <w:numPr>
          <w:ilvl w:val="0"/>
          <w:numId w:val="2"/>
        </w:numPr>
        <w:spacing w:after="80"/>
      </w:pPr>
      <w:r>
        <w:rPr>
          <w:rFonts w:ascii="Calibri" w:cs="Calibri" w:eastAsia="Calibri" w:hAnsi="Calibri"/>
          <w:color w:val="1F2A36"/>
          <w:sz w:val="22"/>
          <w:szCs w:val="22"/>
        </w:rPr>
        <w:t xml:space="preserve">Rédaction de nouveaux textes ou réécriture des textes existants (les contenus sont repris tels quels, avec correction des fautes de frappe évidentes).</w:t>
      </w:r>
    </w:p>
    <w:p>
      <w:pPr>
        <w:pStyle w:val="ListParagraph"/>
        <w:numPr>
          <w:ilvl w:val="0"/>
          <w:numId w:val="2"/>
        </w:numPr>
        <w:spacing w:after="80"/>
      </w:pPr>
      <w:r>
        <w:rPr>
          <w:rFonts w:ascii="Calibri" w:cs="Calibri" w:eastAsia="Calibri" w:hAnsi="Calibri"/>
          <w:color w:val="1F2A36"/>
          <w:sz w:val="22"/>
          <w:szCs w:val="22"/>
        </w:rPr>
        <w:t xml:space="preserve">Refonte graphique : le design actuel est conservé.</w:t>
      </w:r>
    </w:p>
    <w:p>
      <w:pPr>
        <w:pStyle w:val="ListParagraph"/>
        <w:numPr>
          <w:ilvl w:val="0"/>
          <w:numId w:val="2"/>
        </w:numPr>
        <w:spacing w:after="80"/>
      </w:pPr>
      <w:r>
        <w:rPr>
          <w:rFonts w:ascii="Calibri" w:cs="Calibri" w:eastAsia="Calibri" w:hAnsi="Calibri"/>
          <w:color w:val="1F2A36"/>
          <w:sz w:val="22"/>
          <w:szCs w:val="22"/>
        </w:rPr>
        <w:t xml:space="preserve">Réservation avec paiement en ligne, espace client, newsletter.</w:t>
      </w:r>
    </w:p>
    <w:p>
      <w:pPr>
        <w:pStyle w:val="ListParagraph"/>
        <w:numPr>
          <w:ilvl w:val="0"/>
          <w:numId w:val="2"/>
        </w:numPr>
        <w:spacing w:after="80"/>
      </w:pPr>
      <w:r>
        <w:rPr>
          <w:rFonts w:ascii="Calibri" w:cs="Calibri" w:eastAsia="Calibri" w:hAnsi="Calibri"/>
          <w:color w:val="1F2A36"/>
          <w:sz w:val="22"/>
          <w:szCs w:val="22"/>
        </w:rPr>
        <w:t xml:space="preserve">Reprise des commentaires du blog.</w:t>
      </w:r>
    </w:p>
    <w:p>
      <w:pPr>
        <w:pStyle w:val="ListParagraph"/>
        <w:numPr>
          <w:ilvl w:val="0"/>
          <w:numId w:val="2"/>
        </w:numPr>
        <w:spacing w:after="80"/>
      </w:pPr>
      <w:r>
        <w:rPr>
          <w:rFonts w:ascii="Calibri" w:cs="Calibri" w:eastAsia="Calibri" w:hAnsi="Calibri"/>
          <w:color w:val="1F2A36"/>
          <w:sz w:val="22"/>
          <w:szCs w:val="22"/>
        </w:rPr>
        <w:t xml:space="preserve">Relecture des traductions générées pour les contenus publiés après la mise en ligne (la relecture est faite par vos soins avant publication).</w:t>
      </w:r>
    </w:p>
    <w:p>
      <w:pPr>
        <w:pStyle w:val="ListParagraph"/>
        <w:numPr>
          <w:ilvl w:val="0"/>
          <w:numId w:val="2"/>
        </w:numPr>
        <w:spacing w:after="80"/>
      </w:pPr>
      <w:r>
        <w:rPr>
          <w:rFonts w:ascii="Calibri" w:cs="Calibri" w:eastAsia="Calibri" w:hAnsi="Calibri"/>
          <w:color w:val="1F2A36"/>
          <w:sz w:val="22"/>
          <w:szCs w:val="22"/>
        </w:rPr>
        <w:t xml:space="preserve">Campagnes publicitaires, production de photos ou de vidéos.</w:t>
      </w:r>
    </w:p>
    <w:p>
      <w:pPr>
        <w:pStyle w:val="ListParagraph"/>
        <w:numPr>
          <w:ilvl w:val="0"/>
          <w:numId w:val="2"/>
        </w:numPr>
        <w:spacing w:after="80"/>
      </w:pPr>
      <w:r>
        <w:rPr>
          <w:rFonts w:ascii="Calibri" w:cs="Calibri" w:eastAsia="Calibri" w:hAnsi="Calibri"/>
          <w:color w:val="1F2A36"/>
          <w:sz w:val="22"/>
          <w:szCs w:val="22"/>
        </w:rPr>
        <w:t xml:space="preserve">Assistance et maintenance au-delà des 30 jours de suivi après la mise en ligne.</w:t>
      </w:r>
    </w:p>
    <w:p>
      <w:pPr>
        <w:spacing w:after="120" w:before="0"/>
      </w:pPr>
      <w:r>
        <w:rPr>
          <w:rFonts w:ascii="Calibri" w:cs="Calibri" w:eastAsia="Calibri" w:hAnsi="Calibri"/>
          <w:color w:val="1F2A36"/>
          <w:sz w:val="22"/>
          <w:szCs w:val="22"/>
        </w:rPr>
        <w:t xml:space="preserve">Toute fonctionnalité supplémentaire demandée en cours de projet ou après la mise en ligne fera l'objet d'un devis séparé.</w:t>
      </w:r>
    </w:p>
    <w:p>
      <w:pPr>
        <w:pStyle w:val="Heading1"/>
        <w:spacing w:after="120" w:before="320"/>
      </w:pPr>
      <w:r>
        <w:rPr>
          <w:rFonts w:ascii="Calibri" w:cs="Calibri" w:eastAsia="Calibri" w:hAnsi="Calibri"/>
          <w:b/>
          <w:bCs/>
          <w:color w:val="1F2A36"/>
          <w:sz w:val="28"/>
          <w:szCs w:val="28"/>
        </w:rPr>
        <w:t xml:space="preserve">À votre charge</w:t>
      </w:r>
    </w:p>
    <w:p>
      <w:pPr>
        <w:pStyle w:val="ListParagraph"/>
        <w:numPr>
          <w:ilvl w:val="0"/>
          <w:numId w:val="2"/>
        </w:numPr>
        <w:spacing w:after="80"/>
      </w:pPr>
      <w:r>
        <w:rPr>
          <w:rFonts w:ascii="Calibri" w:cs="Calibri" w:eastAsia="Calibri" w:hAnsi="Calibri"/>
          <w:color w:val="1F2A36"/>
          <w:sz w:val="22"/>
          <w:szCs w:val="22"/>
        </w:rPr>
        <w:t xml:space="preserve">Accès à l'espace d'administration WordPress actuel et au compte du nom de domaine pour la bascule finale.</w:t>
      </w:r>
    </w:p>
    <w:p>
      <w:pPr>
        <w:pStyle w:val="ListParagraph"/>
        <w:numPr>
          <w:ilvl w:val="0"/>
          <w:numId w:val="2"/>
        </w:numPr>
        <w:spacing w:after="80"/>
      </w:pPr>
      <w:r>
        <w:rPr>
          <w:rFonts w:ascii="Calibri" w:cs="Calibri" w:eastAsia="Calibri" w:hAnsi="Calibri"/>
          <w:color w:val="1F2A36"/>
          <w:sz w:val="22"/>
          <w:szCs w:val="22"/>
        </w:rPr>
        <w:t xml:space="preserve">Indication des éventuels brouillons ou contenus non publiés à conserver.</w:t>
      </w:r>
    </w:p>
    <w:p>
      <w:pPr>
        <w:pStyle w:val="ListParagraph"/>
        <w:numPr>
          <w:ilvl w:val="0"/>
          <w:numId w:val="2"/>
        </w:numPr>
        <w:spacing w:after="80"/>
      </w:pPr>
      <w:r>
        <w:rPr>
          <w:rFonts w:ascii="Calibri" w:cs="Calibri" w:eastAsia="Calibri" w:hAnsi="Calibri"/>
          <w:color w:val="1F2A36"/>
          <w:sz w:val="22"/>
          <w:szCs w:val="22"/>
        </w:rPr>
        <w:t xml:space="preserve">Relecture des traductions et validation du site de prévisualisation.</w:t>
      </w:r>
    </w:p>
    <w:p>
      <w:pPr>
        <w:pStyle w:val="ListParagraph"/>
        <w:numPr>
          <w:ilvl w:val="0"/>
          <w:numId w:val="2"/>
        </w:numPr>
        <w:spacing w:after="80"/>
      </w:pPr>
      <w:r>
        <w:rPr>
          <w:rFonts w:ascii="Calibri" w:cs="Calibri" w:eastAsia="Calibri" w:hAnsi="Calibri"/>
          <w:color w:val="1F2A36"/>
          <w:sz w:val="22"/>
          <w:szCs w:val="22"/>
        </w:rPr>
        <w:t xml:space="preserve">Disponibilité d'un interlocuteur pour les questions en cours de projet.</w:t>
      </w:r>
    </w:p>
    <w:p>
      <w:pPr>
        <w:pStyle w:val="Heading1"/>
        <w:spacing w:after="120" w:before="320"/>
      </w:pPr>
      <w:r>
        <w:rPr>
          <w:rFonts w:ascii="Calibri" w:cs="Calibri" w:eastAsia="Calibri" w:hAnsi="Calibri"/>
          <w:b/>
          <w:bCs/>
          <w:color w:val="1F2A36"/>
          <w:sz w:val="28"/>
          <w:szCs w:val="28"/>
        </w:rPr>
        <w:t xml:space="preserve">Acceptation</w:t>
      </w:r>
    </w:p>
    <w:p>
      <w:pPr>
        <w:spacing w:after="120" w:before="0"/>
      </w:pPr>
      <w:r>
        <w:rPr>
          <w:rFonts w:ascii="Calibri" w:cs="Calibri" w:eastAsia="Calibri" w:hAnsi="Calibri"/>
          <w:color w:val="1F2A36"/>
          <w:sz w:val="22"/>
          <w:szCs w:val="22"/>
        </w:rPr>
        <w:t xml:space="preserve">Pour accepter ce devis, il suffit de le retourner signé, y compris par e-mail, accompagné du versement de l'acompte.</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4820"/>
        <w:gridCol w:w="4820"/>
      </w:tblGrid>
      <w:tr>
        <w:tc>
          <w:tcPr>
            <w:tcW w:type="dxa" w:w="482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600" w:before="0"/>
            </w:pPr>
            <w:r>
              <w:rPr>
                <w:rFonts w:ascii="Calibri" w:cs="Calibri" w:eastAsia="Calibri" w:hAnsi="Calibri"/>
                <w:b/>
                <w:bCs/>
                <w:color w:val="1F2A36"/>
                <w:sz w:val="22"/>
                <w:szCs w:val="22"/>
              </w:rPr>
              <w:t xml:space="preserve">Le Prestataire</w:t>
            </w:r>
          </w:p>
          <w:p>
            <w:pPr>
              <w:spacing w:after="0" w:before="0"/>
            </w:pPr>
            <w:r>
              <w:rPr>
                <w:rFonts w:ascii="Calibri" w:cs="Calibri" w:eastAsia="Calibri" w:hAnsi="Calibri"/>
                <w:color w:val="6B7A89"/>
                <w:sz w:val="22"/>
                <w:szCs w:val="22"/>
              </w:rPr>
              <w:t xml:space="preserve">______________________________</w:t>
            </w:r>
          </w:p>
        </w:tc>
        <w:tc>
          <w:tcPr>
            <w:tcW w:type="dxa" w:w="4820"/>
            <w:tcBorders>
              <w:top w:val="single" w:color="C9D1D9" w:sz="4"/>
              <w:left w:val="single" w:color="C9D1D9" w:sz="4"/>
              <w:bottom w:val="single" w:color="C9D1D9" w:sz="4"/>
              <w:right w:val="single" w:color="C9D1D9" w:sz="4"/>
            </w:tcBorders>
            <w:tcMar>
              <w:top w:type="dxa" w:w="90"/>
              <w:left w:type="dxa" w:w="120"/>
              <w:bottom w:type="dxa" w:w="90"/>
              <w:right w:type="dxa" w:w="120"/>
            </w:tcMar>
            <w:vAlign w:val="top"/>
          </w:tcPr>
          <w:p>
            <w:pPr>
              <w:spacing w:after="600" w:before="0"/>
            </w:pPr>
            <w:r>
              <w:rPr>
                <w:rFonts w:ascii="Calibri" w:cs="Calibri" w:eastAsia="Calibri" w:hAnsi="Calibri"/>
                <w:b/>
                <w:bCs/>
                <w:color w:val="1F2A36"/>
                <w:sz w:val="22"/>
                <w:szCs w:val="22"/>
              </w:rPr>
              <w:t xml:space="preserve">Le Client, pour acceptation</w:t>
            </w:r>
          </w:p>
          <w:p>
            <w:pPr>
              <w:spacing w:after="0" w:before="0"/>
            </w:pPr>
            <w:r>
              <w:rPr>
                <w:rFonts w:ascii="Calibri" w:cs="Calibri" w:eastAsia="Calibri" w:hAnsi="Calibri"/>
                <w:color w:val="6B7A89"/>
                <w:sz w:val="22"/>
                <w:szCs w:val="22"/>
              </w:rPr>
              <w:t xml:space="preserve">______________________________</w:t>
            </w:r>
          </w:p>
        </w:tc>
      </w:tr>
    </w:tbl>
    <w:sectPr>
      <w:pgSz w:w="11906" w:h="16838" w:orient="portrait"/>
      <w:pgMar w:top="1250" w:right="1300" w:bottom="125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3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2026-09-18T09:49:29.913Z</dcterms:created>
  <dcterms:modified xsi:type="dcterms:W3CDTF">2026-09-18T09:49:29.916Z</dcterms:modified>
</cp:coreProperties>
</file>

<file path=docProps/custom.xml><?xml version="1.0" encoding="utf-8"?>
<Properties xmlns="http://schemas.openxmlformats.org/officeDocument/2006/custom-properties" xmlns:vt="http://schemas.openxmlformats.org/officeDocument/2006/docPropsVTypes"/>
</file>