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Preventivo n. 09/2026</w:t>
      </w:r>
    </w:p>
    <w:p>
      <w:r>
        <w:rPr>
          <w:b/>
        </w:rPr>
        <w:t>Gestione delle voci a tendina della Valutazione e rigenerazione notturna dei PDF</w:t>
      </w:r>
    </w:p>
    <w:p>
      <w:r>
        <w:rPr>
          <w:b w:val="0"/>
        </w:rPr>
        <w:t>Integrazione al gestionale DVR Agenzie</w:t>
      </w:r>
    </w:p>
    <w:p>
      <w:r>
        <w:rPr>
          <w:b w:val="0"/>
        </w:rPr>
        <w:t>Data: 18 settembre 2026</w:t>
      </w:r>
    </w:p>
    <w:p>
      <w:r>
        <w:rPr>
          <w:b w:val="0"/>
        </w:rPr>
        <w:t>Validità offerta: 30 giorni dalla data di emissione.</w:t>
      </w:r>
    </w:p>
    <w:p>
      <w:pPr>
        <w:pStyle w:val="Heading2"/>
      </w:pPr>
      <w:r>
        <w:t>Emesso da</w:t>
      </w:r>
    </w:p>
    <w:p>
      <w:r>
        <w:rPr>
          <w:b w:val="0"/>
        </w:rPr>
        <w:t>DUEBYTES di Alberti Paolo</w:t>
      </w:r>
    </w:p>
    <w:p>
      <w:r>
        <w:rPr>
          <w:b w:val="0"/>
        </w:rPr>
        <w:t>Via Beglini, 34 - 18018 Arma di Taggia (IM)</w:t>
      </w:r>
    </w:p>
    <w:p>
      <w:r>
        <w:rPr>
          <w:b w:val="0"/>
        </w:rPr>
        <w:t>P.IVA 01553530088</w:t>
      </w:r>
    </w:p>
    <w:p>
      <w:r>
        <w:rPr>
          <w:b w:val="0"/>
        </w:rPr>
        <w:t>paolo.alberti@duebytes.it</w:t>
      </w:r>
    </w:p>
    <w:p>
      <w:pPr>
        <w:pStyle w:val="Heading1"/>
      </w:pPr>
      <w:r>
        <w:t>Oggetto dell'intervento</w:t>
      </w:r>
    </w:p>
    <w:p>
      <w:r>
        <w:rPr>
          <w:b w:val="0"/>
        </w:rPr>
        <w:t>Il gestionale DVR Agenzie è in uso dal mese di giugno. Con l'utilizzo quotidiano è emersa la necessità di adattare le risposte precompilate della sezione Valutazione dei rischi, oggi fisse e modificabili solo dal fornitore. Il presente preventivo copre la possibilità per gli amministratori di gestire in autonomia le voci di quelle tendine, con i relativi punteggi di rischio, e la rigenerazione automatica notturna dei DVR in PDF modificati durante la giornata.</w:t>
      </w:r>
    </w:p>
    <w:p>
      <w:pPr>
        <w:pStyle w:val="Heading1"/>
      </w:pPr>
      <w:r>
        <w:t>Cosa viene realizzato</w:t>
      </w:r>
    </w:p>
    <w:p>
      <w:pPr>
        <w:pStyle w:val="Heading2"/>
      </w:pPr>
      <w:r>
        <w:t>1. Gestione delle voci della Valutazione</w:t>
      </w:r>
    </w:p>
    <w:p>
      <w:r>
        <w:rPr>
          <w:b w:val="0"/>
        </w:rPr>
        <w:t>Riguarda le tendine della sezione Valutazione dei rischi (le "situazioni rilevate" di ogni elemento, ad esempio Porte interne, Serramenti esterni sede, Illuminazione di emergenza). Accanto a ogni tendina compare un comando "Gestisci voci", visibile solo agli amministratori principali, che apre l'elenco delle voci di quella tendina e permette le tre operazioni seguenti.</w:t>
      </w:r>
    </w:p>
    <w:p>
      <w:pPr>
        <w:pStyle w:val="Heading3"/>
      </w:pPr>
      <w:r>
        <w:t>Inserimento di una voce</w:t>
      </w:r>
    </w:p>
    <w:p>
      <w:pPr>
        <w:pStyle w:val="ListBullet"/>
      </w:pPr>
      <w:r>
        <w:t>Si indicano il testo della voce e i punteggi di Probabilità (P) e Gravità (G). Il livello di rischio che ne deriva (Trascurabile, Lieve, Alto, Molto alto) viene calcolato dal sistema con la matrice già in uso e mostrato subito, con il suo colore, prima del salvataggio. Non è possibile inserire il livello a mano.</w:t>
      </w:r>
    </w:p>
    <w:p>
      <w:pPr>
        <w:pStyle w:val="ListBullet"/>
      </w:pPr>
      <w:r>
        <w:t>La voce viene aggiunta in fondo alla tendina in cui è stata creata e diventa disponibile in tutte le sedi.</w:t>
      </w:r>
    </w:p>
    <w:p>
      <w:pPr>
        <w:pStyle w:val="ListBullet"/>
      </w:pPr>
      <w:r>
        <w:t>La voce nuova si comporta esattamente come le altre voci della stessa tendina. In particolare, se la tendina è collegata a una famiglia di attività di miglioramento, anche la voce nuova lo è: quando viene selezionata in un DVR con un livello di rischio superiore a Trascurabile, genera l'attività di miglioramento con la stessa famiglia, lo stesso livello e la stessa scadenza che avrebbe generato una voce già esistente con quei punteggi. Se la tendina non è collegata a nessuna famiglia, la voce nuova concorre al livello di rischio stampato nel DVR ma non genera attività, come le voci che già contiene.</w:t>
      </w:r>
    </w:p>
    <w:p>
      <w:pPr>
        <w:pStyle w:val="ListBullet"/>
      </w:pPr>
      <w:r>
        <w:t>Non è possibile creare tendine nuove né spostare una voce da una tendina a un'altra.</w:t>
      </w:r>
    </w:p>
    <w:p>
      <w:pPr>
        <w:pStyle w:val="Heading3"/>
      </w:pPr>
      <w:r>
        <w:t>Modifica di una voce</w:t>
      </w:r>
    </w:p>
    <w:p>
      <w:pPr>
        <w:pStyle w:val="ListBullet"/>
      </w:pPr>
      <w:r>
        <w:t>Si possono modificare testo, Probabilità e Gravità di qualunque voce, comprese quelle presenti fin dall'inizio.</w:t>
      </w:r>
    </w:p>
    <w:p>
      <w:pPr>
        <w:pStyle w:val="ListBullet"/>
      </w:pPr>
      <w:r>
        <w:t>La modifica del testo si riflette in tutti i DVR che hanno quella voce selezionata: il testo nuovo sostituisce il vecchio, anche nei PDF che verranno rigenerati. Non viene conservato lo storico del testo precedente nei DVR.</w:t>
      </w:r>
    </w:p>
    <w:p>
      <w:pPr>
        <w:pStyle w:val="ListBullet"/>
      </w:pPr>
      <w:r>
        <w:t>La modifica dei punteggi ricalcola il livello di rischio in tutti i DVR che usano la voce e aggiorna di conseguenza le attività di miglioramento collegate: se il livello cambia, l'attività cambia livello e scadenza; se il rischio scende a Trascurabile, l'attività viene chiusa; se sale da Trascurabile a un livello superiore, l'attività viene aperta. Le attività già segnate come risolte dagli utenti non vengono riaperte.</w:t>
      </w:r>
    </w:p>
    <w:p>
      <w:pPr>
        <w:pStyle w:val="ListBullet"/>
      </w:pPr>
      <w:r>
        <w:t>Prima di salvare una modifica, il sistema indica in quanti DVR la voce è utilizzata e chiede conferma.</w:t>
      </w:r>
    </w:p>
    <w:p>
      <w:pPr>
        <w:pStyle w:val="Heading3"/>
      </w:pPr>
      <w:r>
        <w:t>Eliminazione di una voce</w:t>
      </w:r>
    </w:p>
    <w:p>
      <w:pPr>
        <w:pStyle w:val="ListBullet"/>
      </w:pPr>
      <w:r>
        <w:t>Una voce può essere eliminata solo se non è selezionata in nessun DVR. In caso contrario il sistema impedisce l'eliminazione e indica il numero di sedi che la utilizzano; per toglierla è necessario prima sostituirla in quei DVR.</w:t>
      </w:r>
    </w:p>
    <w:p>
      <w:pPr>
        <w:pStyle w:val="ListBullet"/>
      </w:pPr>
      <w:r>
        <w:t>L'eliminazione non ha effetti su attività di miglioramento, perché una voce non in uso non ne ha generate.</w:t>
      </w:r>
    </w:p>
    <w:p>
      <w:pPr>
        <w:pStyle w:val="Heading3"/>
      </w:pPr>
      <w:r>
        <w:t>Registro delle operazioni</w:t>
      </w:r>
    </w:p>
    <w:p>
      <w:r>
        <w:rPr>
          <w:b w:val="0"/>
        </w:rPr>
        <w:t>Inserimenti, modifiche ed eliminazioni vengono registrati nel Log Attività con utente, data e ora, tendina interessata, valore precedente e valore nuovo.</w:t>
      </w:r>
    </w:p>
    <w:p>
      <w:pPr>
        <w:pStyle w:val="Heading2"/>
      </w:pPr>
      <w:r>
        <w:t>2. Aggiornamento del controllo "PDF da rigenerare"</w:t>
      </w:r>
    </w:p>
    <w:p>
      <w:r>
        <w:rPr>
          <w:b w:val="0"/>
        </w:rPr>
        <w:t>Oggi il sistema segnala che il PDF di una sede va rigenerato quando cambiano i dati della sede. Con voci modificabili, il controllo terrà conto anche del testo e dei punteggi delle voci selezionate: la modifica di una voce fa risultare "da rigenerare" tutti i DVR che la usano. Al rilascio viene eseguita una rigenerazione completa dei PDF e degli archivi regionali.</w:t>
      </w:r>
    </w:p>
    <w:p>
      <w:pPr>
        <w:pStyle w:val="Heading2"/>
      </w:pPr>
      <w:r>
        <w:t>3. Rigenerazione notturna automatica</w:t>
      </w:r>
    </w:p>
    <w:p>
      <w:r>
        <w:rPr>
          <w:b w:val="0"/>
        </w:rPr>
        <w:t>Ogni notte il sistema individua i DVR il cui PDF risulta da rigenerare, ne produce la nuova versione e aggiorna gli archivi ZIP delle regioni interessate. La mattina successiva i documenti scaricabili sono allineati ai dati, senza intervento degli utenti. Il pulsante "Rigenera PDF" resta disponibile per chi ha bisogno del documento subito.</w:t>
      </w:r>
    </w:p>
    <w:p>
      <w:pPr>
        <w:pStyle w:val="Heading2"/>
      </w:pPr>
      <w:r>
        <w:t>4. Guida e collaudo</w:t>
      </w:r>
    </w:p>
    <w:p>
      <w:r>
        <w:rPr>
          <w:b w:val="0"/>
        </w:rPr>
        <w:t>Aggiornamento della guida d'uso presente nel gestionale e collaudo delle funzioni sui dati reali, compresa una rigenerazione notturna di prova.</w:t>
      </w:r>
    </w:p>
    <w:p>
      <w:pPr>
        <w:pStyle w:val="Heading1"/>
      </w:pPr>
      <w:r>
        <w:t>Articolazione del lavoro e costi</w:t>
      </w:r>
    </w:p>
    <w:p>
      <w:r>
        <w:rPr>
          <w:b w:val="0"/>
        </w:rPr>
        <w:t>Il lavoro è suddiviso in quattro blocchi. Per ciascuno è indicato il numero di giornate lavorative previste e il relativo costo.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/>
            <w:r>
              <w:rPr>
                <w:b/>
              </w:rPr>
              <w:t>Blocco</w:t>
            </w:r>
          </w:p>
        </w:tc>
        <w:tc>
          <w:tcPr>
            <w:tcW w:type="dxa" w:w="2880"/>
          </w:tcPr>
          <w:p>
            <w:pPr>
              <w:jc w:val="right"/>
            </w:pPr>
            <w:r/>
            <w:r>
              <w:rPr>
                <w:b/>
              </w:rPr>
              <w:t>Giornate</w:t>
            </w:r>
          </w:p>
        </w:tc>
        <w:tc>
          <w:tcPr>
            <w:tcW w:type="dxa" w:w="2880"/>
          </w:tcPr>
          <w:p>
            <w:pPr>
              <w:jc w:val="right"/>
            </w:pPr>
            <w:r/>
            <w:r>
              <w:rPr>
                <w:b/>
              </w:rPr>
              <w:t>Importo (€)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1. Gestione delle voci della Valutazione (inserimento, modifica, eliminazione, punteggi, ricalcolo del rischio e delle attività, registro)</w:t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 w:val="0"/>
              </w:rPr>
              <w:t>3</w:t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 w:val="0"/>
              </w:rPr>
              <w:t>450,00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2. Aggiornamento del controllo "PDF da rigenerare" e rigenerazione completa al rilascio</w:t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 w:val="0"/>
              </w:rPr>
              <w:t>1</w:t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 w:val="0"/>
              </w:rPr>
              <w:t>150,00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3. Rigenerazione notturna automatica di PDF e archivi regionali</w:t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 w:val="0"/>
              </w:rPr>
              <w:t>0,5</w:t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 w:val="0"/>
              </w:rPr>
              <w:t>75,00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4. Guida d'uso e collaudo</w:t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 w:val="0"/>
              </w:rPr>
              <w:t>0,5</w:t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 w:val="0"/>
              </w:rPr>
              <w:t>75,00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Totale</w:t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/>
              </w:rPr>
              <w:t>5</w:t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/>
              </w:rPr>
              <w:t>750,00</w:t>
            </w:r>
          </w:p>
        </w:tc>
      </w:tr>
      <w:tr>
        <w:tc>
          <w:tcPr>
            <w:tcW w:type="dxa" w:w="2880"/>
          </w:tcPr>
          <w:p>
            <w:r>
              <w:rPr>
                <w:b w:val="0"/>
              </w:rPr>
              <w:t>Imposta di bollo (importo superiore a € 77,47)</w:t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 w:val="0"/>
              </w:rPr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 w:val="0"/>
              </w:rPr>
              <w:t>2,00</w:t>
            </w:r>
          </w:p>
        </w:tc>
      </w:tr>
      <w:tr>
        <w:tc>
          <w:tcPr>
            <w:tcW w:type="dxa" w:w="2880"/>
          </w:tcPr>
          <w:p>
            <w:r>
              <w:rPr>
                <w:b/>
              </w:rPr>
              <w:t>Totale da corrispondere</w:t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/>
              </w:rPr>
            </w:r>
          </w:p>
        </w:tc>
        <w:tc>
          <w:tcPr>
            <w:tcW w:type="dxa" w:w="2880"/>
          </w:tcPr>
          <w:p>
            <w:pPr>
              <w:jc w:val="right"/>
            </w:pPr>
            <w:r>
              <w:rPr>
                <w:b/>
              </w:rPr>
              <w:t>752,00</w:t>
            </w:r>
          </w:p>
        </w:tc>
      </w:tr>
    </w:tbl>
    <w:p>
      <w:r>
        <w:rPr>
          <w:b w:val="0"/>
        </w:rPr>
        <w:t>Tariffa giornaliera € 150,00. Operazione effettuata ai sensi dell'art. 1, commi da 54 a 89, della Legge n. 190/2014 (regime forfettario): non soggetta a IVA né a ritenuta d'acconto. Imposta di bollo da € 2,00 assolta sull'originale.</w:t>
      </w:r>
    </w:p>
    <w:p>
      <w:pPr>
        <w:pStyle w:val="Heading1"/>
      </w:pPr>
      <w:r>
        <w:t>Tempistiche</w:t>
      </w:r>
    </w:p>
    <w:p>
      <w:r>
        <w:rPr>
          <w:b w:val="0"/>
        </w:rPr>
        <w:t>Il lavoro viene realizzato in 5 giornate lavorative, con rilascio entro circa una settimana dalla conferma. Il rilascio avviene sul gestionale in uso, senza interruzioni del servizio; la rigenerazione notturna è attiva dalla prima notte successiva al rilascio.</w:t>
      </w:r>
    </w:p>
    <w:p>
      <w:pPr>
        <w:pStyle w:val="Heading1"/>
      </w:pPr>
      <w:r>
        <w:t>Cosa non è incluso in questo preventivo</w:t>
      </w:r>
    </w:p>
    <w:p>
      <w:r>
        <w:rPr>
          <w:b w:val="0"/>
        </w:rPr>
        <w:t>Per chiarezza, elenchiamo cosa resta fuori dal presente lavoro:</w:t>
      </w:r>
    </w:p>
    <w:p>
      <w:pPr>
        <w:pStyle w:val="ListBullet"/>
      </w:pPr>
      <w:r>
        <w:t>Le tendine della sezione Pericoli (Verifica e commento, Note) e le cinque risposte Uffici/Pertinenze (Conforme, Da verificare Alleanza, Da verificare Condominio, Non conforme, Non pertinente): restano quelle attuali.</w:t>
      </w:r>
    </w:p>
    <w:p>
      <w:pPr>
        <w:pStyle w:val="ListBullet"/>
      </w:pPr>
      <w:r>
        <w:t>La creazione di nuove tendine o nuovi gruppi nella Valutazione, e lo spostamento di voci tra tendine.</w:t>
      </w:r>
    </w:p>
    <w:p>
      <w:pPr>
        <w:pStyle w:val="ListBullet"/>
      </w:pPr>
      <w:r>
        <w:t>Il collegamento automatico tra Pericoli e Valutazione (compilazione della Valutazione a partire dai punti dei Pericoli): oggetto di eventuale valutazione separata.</w:t>
      </w:r>
    </w:p>
    <w:p>
      <w:pPr>
        <w:pStyle w:val="ListBullet"/>
      </w:pPr>
      <w:r>
        <w:t>L'eliminazione di voci in uso in almeno un DVR e la conservazione dello storico delle voci modificate.</w:t>
      </w:r>
    </w:p>
    <w:p>
      <w:pPr>
        <w:pStyle w:val="ListBullet"/>
      </w:pPr>
      <w:r>
        <w:t>Assistenza e manutenzione successive al rilascio.</w:t>
      </w:r>
    </w:p>
    <w:p>
      <w:r>
        <w:rPr>
          <w:b w:val="0"/>
        </w:rPr>
        <w:t>Qualunque funzionalità aggiuntiva richiesta in corso d'opera o successivamente al rilascio sarà oggetto di un preventivo separato.</w:t>
      </w:r>
    </w:p>
    <w:p>
      <w:pPr>
        <w:pStyle w:val="Heading1"/>
      </w:pPr>
      <w:r>
        <w:t>Accettazione</w:t>
      </w:r>
    </w:p>
    <w:p>
      <w:r>
        <w:rPr>
          <w:b w:val="0"/>
        </w:rPr>
        <w:t>Per l'accettazione del presente preventivo è sufficiente restituirlo firmato per accettazione, anche via email.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Il Fornitore</w:t>
            </w:r>
          </w:p>
        </w:tc>
        <w:tc>
          <w:tcPr>
            <w:tcW w:type="dxa" w:w="4320"/>
          </w:tcPr>
          <w:p>
            <w:r>
              <w:t>Il Cliente per accettazione</w:t>
            </w:r>
          </w:p>
        </w:tc>
      </w:tr>
      <w:tr>
        <w:tc>
          <w:tcPr>
            <w:tcW w:type="dxa" w:w="4320"/>
          </w:tcPr>
          <w:p>
            <w:r>
              <w:br/>
              <w:br/>
            </w:r>
          </w:p>
        </w:tc>
        <w:tc>
          <w:tcPr>
            <w:tcW w:type="dxa" w:w="4320"/>
          </w:tcPr>
          <w:p>
            <w:r>
              <w:br/>
              <w:br/>
            </w:r>
          </w:p>
        </w:tc>
      </w:tr>
      <w:tr>
        <w:tc>
          <w:tcPr>
            <w:tcW w:type="dxa" w:w="4320"/>
          </w:tcPr>
          <w:p>
            <w:r>
              <w:t>Data: ____________</w:t>
            </w:r>
          </w:p>
        </w:tc>
        <w:tc>
          <w:tcPr>
            <w:tcW w:type="dxa" w:w="4320"/>
          </w:tcPr>
          <w:p>
            <w:r>
              <w:t>Data: ____________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